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AF5B5">
      <w:pPr>
        <w:pStyle w:val="4"/>
        <w:ind w:firstLine="0" w:firstLineChars="0"/>
        <w:rPr>
          <w:rFonts w:eastAsia="黑体"/>
          <w:color w:val="000000"/>
        </w:rPr>
      </w:pPr>
      <w:r>
        <w:rPr>
          <w:rFonts w:eastAsia="黑体"/>
          <w:color w:val="000000"/>
        </w:rPr>
        <w:t>附件1</w:t>
      </w:r>
    </w:p>
    <w:p w14:paraId="178E1F83">
      <w:pPr>
        <w:overflowPunct w:val="0"/>
        <w:spacing w:before="312" w:beforeLines="100" w:after="312" w:afterLines="100" w:line="579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</w:rPr>
        <w:t>2026年湖北省建设工程质量检测机构</w:t>
      </w:r>
      <w:r>
        <w:rPr>
          <w:rFonts w:hint="eastAsia" w:ascii="方正小标宋_GBK" w:eastAsia="方正小标宋_GBK"/>
          <w:bCs/>
          <w:sz w:val="36"/>
          <w:szCs w:val="36"/>
        </w:rPr>
        <w:br w:type="textWrapping"/>
      </w:r>
      <w:r>
        <w:rPr>
          <w:rFonts w:hint="eastAsia" w:ascii="方正小标宋_GBK" w:eastAsia="方正小标宋_GBK"/>
          <w:sz w:val="36"/>
          <w:szCs w:val="36"/>
        </w:rPr>
        <w:t>能力验证报名表</w:t>
      </w:r>
    </w:p>
    <w:p w14:paraId="534E76AF">
      <w:pPr>
        <w:overflowPunct w:val="0"/>
        <w:spacing w:line="360" w:lineRule="exact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单位序号：（盖章）</w:t>
      </w:r>
    </w:p>
    <w:tbl>
      <w:tblPr>
        <w:tblStyle w:val="2"/>
        <w:tblW w:w="8951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152"/>
        <w:gridCol w:w="2007"/>
        <w:gridCol w:w="861"/>
        <w:gridCol w:w="1576"/>
        <w:gridCol w:w="29"/>
        <w:gridCol w:w="2326"/>
      </w:tblGrid>
      <w:tr w14:paraId="57D56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8" w:hRule="atLeast"/>
        </w:trPr>
        <w:tc>
          <w:tcPr>
            <w:tcW w:w="2152" w:type="dxa"/>
            <w:noWrap w:val="0"/>
            <w:vAlign w:val="center"/>
          </w:tcPr>
          <w:p w14:paraId="6166B1D6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799" w:type="dxa"/>
            <w:gridSpan w:val="5"/>
            <w:noWrap w:val="0"/>
            <w:vAlign w:val="center"/>
          </w:tcPr>
          <w:p w14:paraId="16B31334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混凝土外加剂pH、氯离子和总碱量测定能力验证</w:t>
            </w:r>
          </w:p>
        </w:tc>
      </w:tr>
      <w:tr w14:paraId="0FB5D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4" w:hRule="atLeast"/>
        </w:trPr>
        <w:tc>
          <w:tcPr>
            <w:tcW w:w="2152" w:type="dxa"/>
            <w:vMerge w:val="restart"/>
            <w:noWrap w:val="0"/>
            <w:vAlign w:val="center"/>
          </w:tcPr>
          <w:p w14:paraId="5350F48D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项目概况</w:t>
            </w:r>
          </w:p>
          <w:p w14:paraId="4F7756B8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（请选择检测项目及检测标准条款）</w:t>
            </w:r>
          </w:p>
        </w:tc>
        <w:tc>
          <w:tcPr>
            <w:tcW w:w="2007" w:type="dxa"/>
            <w:noWrap w:val="0"/>
            <w:vAlign w:val="center"/>
          </w:tcPr>
          <w:p w14:paraId="5DEB16EF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检测项目</w:t>
            </w:r>
          </w:p>
        </w:tc>
        <w:tc>
          <w:tcPr>
            <w:tcW w:w="4792" w:type="dxa"/>
            <w:gridSpan w:val="4"/>
            <w:noWrap w:val="0"/>
            <w:vAlign w:val="center"/>
          </w:tcPr>
          <w:p w14:paraId="66E1E067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检测标准/方法</w:t>
            </w:r>
          </w:p>
        </w:tc>
      </w:tr>
      <w:tr w14:paraId="7212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8" w:hRule="atLeast"/>
        </w:trPr>
        <w:tc>
          <w:tcPr>
            <w:tcW w:w="2152" w:type="dxa"/>
            <w:vMerge w:val="continue"/>
            <w:noWrap w:val="0"/>
            <w:vAlign w:val="center"/>
          </w:tcPr>
          <w:p w14:paraId="55DFB4E5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3457D42F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sym w:font="Wingdings" w:char="00FE"/>
            </w:r>
            <w:r>
              <w:rPr>
                <w:rFonts w:eastAsia="仿宋_GB2312"/>
                <w:color w:val="000000"/>
                <w:kern w:val="0"/>
                <w:sz w:val="24"/>
              </w:rPr>
              <w:t>pH</w:t>
            </w:r>
          </w:p>
        </w:tc>
        <w:tc>
          <w:tcPr>
            <w:tcW w:w="4792" w:type="dxa"/>
            <w:gridSpan w:val="4"/>
            <w:noWrap w:val="0"/>
            <w:vAlign w:val="center"/>
          </w:tcPr>
          <w:p w14:paraId="497098B8">
            <w:pPr>
              <w:overflowPunct w:val="0"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GB/T 8077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-</w:t>
            </w:r>
            <w:r>
              <w:rPr>
                <w:rFonts w:eastAsia="仿宋_GB2312"/>
                <w:color w:val="000000"/>
                <w:kern w:val="0"/>
                <w:sz w:val="24"/>
              </w:rPr>
              <w:t>2023 第11章</w:t>
            </w:r>
          </w:p>
        </w:tc>
      </w:tr>
      <w:tr w14:paraId="035D1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2" w:hRule="atLeast"/>
        </w:trPr>
        <w:tc>
          <w:tcPr>
            <w:tcW w:w="2152" w:type="dxa"/>
            <w:vMerge w:val="continue"/>
            <w:noWrap w:val="0"/>
            <w:vAlign w:val="center"/>
          </w:tcPr>
          <w:p w14:paraId="04999274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2E00C724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sym w:font="Wingdings" w:char="00FE"/>
            </w:r>
            <w:r>
              <w:rPr>
                <w:rFonts w:eastAsia="仿宋_GB2312"/>
                <w:color w:val="000000"/>
                <w:kern w:val="0"/>
                <w:sz w:val="24"/>
              </w:rPr>
              <w:t>氯离子</w:t>
            </w:r>
          </w:p>
        </w:tc>
        <w:tc>
          <w:tcPr>
            <w:tcW w:w="4792" w:type="dxa"/>
            <w:gridSpan w:val="4"/>
            <w:noWrap w:val="0"/>
            <w:vAlign w:val="center"/>
          </w:tcPr>
          <w:p w14:paraId="03F34D1B">
            <w:pPr>
              <w:overflowPunct w:val="0"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sym w:font="Wingdings" w:char="F0A8"/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GB/T 8077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-</w:t>
            </w:r>
            <w:r>
              <w:rPr>
                <w:rFonts w:eastAsia="仿宋_GB2312"/>
                <w:color w:val="000000"/>
                <w:kern w:val="0"/>
                <w:sz w:val="24"/>
              </w:rPr>
              <w:t>2023 条款13.1电位滴定法</w:t>
            </w:r>
          </w:p>
          <w:p w14:paraId="69064C85">
            <w:pPr>
              <w:overflowPunct w:val="0"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sym w:font="Wingdings" w:char="F0A8"/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GB/T 8077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-</w:t>
            </w:r>
            <w:r>
              <w:rPr>
                <w:rFonts w:eastAsia="仿宋_GB2312"/>
                <w:color w:val="000000"/>
                <w:kern w:val="0"/>
                <w:sz w:val="24"/>
              </w:rPr>
              <w:t>2023 条款13.2离子色谱法</w:t>
            </w:r>
          </w:p>
        </w:tc>
      </w:tr>
      <w:tr w14:paraId="6A4BD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2" w:hRule="atLeast"/>
        </w:trPr>
        <w:tc>
          <w:tcPr>
            <w:tcW w:w="2152" w:type="dxa"/>
            <w:vMerge w:val="continue"/>
            <w:noWrap w:val="0"/>
            <w:vAlign w:val="center"/>
          </w:tcPr>
          <w:p w14:paraId="6185070C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1BA856AC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sym w:font="Wingdings" w:char="F0A8"/>
            </w:r>
            <w:r>
              <w:rPr>
                <w:rFonts w:eastAsia="仿宋_GB2312"/>
                <w:color w:val="000000"/>
                <w:kern w:val="0"/>
                <w:sz w:val="24"/>
              </w:rPr>
              <w:t>总碱量（氧化钾、氧化</w:t>
            </w: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钠</w:t>
            </w:r>
            <w:r>
              <w:rPr>
                <w:rFonts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792" w:type="dxa"/>
            <w:gridSpan w:val="4"/>
            <w:noWrap w:val="0"/>
            <w:vAlign w:val="center"/>
          </w:tcPr>
          <w:p w14:paraId="78614FAF">
            <w:pPr>
              <w:overflowPunct w:val="0"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sym w:font="Wingdings" w:char="F0A8"/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GB/T 8077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-</w:t>
            </w:r>
            <w:r>
              <w:rPr>
                <w:rFonts w:eastAsia="仿宋_GB2312"/>
                <w:color w:val="000000"/>
                <w:kern w:val="0"/>
                <w:sz w:val="24"/>
              </w:rPr>
              <w:t>2023条款17.1火焰光度法</w:t>
            </w:r>
          </w:p>
          <w:p w14:paraId="3385B353">
            <w:pPr>
              <w:overflowPunct w:val="0"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sym w:font="Wingdings" w:char="F0A8"/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GB/T 8077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-</w:t>
            </w:r>
            <w:r>
              <w:rPr>
                <w:rFonts w:eastAsia="仿宋_GB2312"/>
                <w:color w:val="000000"/>
                <w:kern w:val="0"/>
                <w:sz w:val="24"/>
              </w:rPr>
              <w:t>2023条款17.2原子吸收分光光度法</w:t>
            </w:r>
            <w:bookmarkStart w:id="2" w:name="_GoBack"/>
            <w:bookmarkEnd w:id="2"/>
          </w:p>
        </w:tc>
      </w:tr>
      <w:tr w14:paraId="3779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63" w:hRule="atLeast"/>
        </w:trPr>
        <w:tc>
          <w:tcPr>
            <w:tcW w:w="2152" w:type="dxa"/>
            <w:noWrap w:val="0"/>
            <w:vAlign w:val="center"/>
          </w:tcPr>
          <w:p w14:paraId="40387604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参加能力验证</w:t>
            </w:r>
            <w:r>
              <w:rPr>
                <w:rFonts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4"/>
              </w:rPr>
              <w:t>检测人员</w:t>
            </w:r>
          </w:p>
        </w:tc>
        <w:tc>
          <w:tcPr>
            <w:tcW w:w="6799" w:type="dxa"/>
            <w:gridSpan w:val="5"/>
            <w:noWrap w:val="0"/>
            <w:vAlign w:val="center"/>
          </w:tcPr>
          <w:p w14:paraId="0F7AE9D4">
            <w:pPr>
              <w:overflowPunct w:val="0"/>
              <w:spacing w:line="360" w:lineRule="exac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姓名：</w:t>
            </w:r>
            <w:bookmarkStart w:id="0" w:name="OLE_LINK5"/>
            <w:bookmarkStart w:id="1" w:name="OLE_LINK6"/>
            <w:r>
              <w:rPr>
                <w:rFonts w:eastAsia="仿宋_GB2312"/>
                <w:color w:val="000000"/>
                <w:kern w:val="0"/>
                <w:sz w:val="24"/>
              </w:rPr>
              <w:tab/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  身份证号</w:t>
            </w:r>
            <w:bookmarkEnd w:id="0"/>
            <w:bookmarkEnd w:id="1"/>
          </w:p>
          <w:p w14:paraId="7EF57456">
            <w:pPr>
              <w:overflowPunct w:val="0"/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姓名：                    身份证号：</w:t>
            </w:r>
          </w:p>
        </w:tc>
      </w:tr>
      <w:tr w14:paraId="3C3A9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4" w:hRule="atLeast"/>
        </w:trPr>
        <w:tc>
          <w:tcPr>
            <w:tcW w:w="2152" w:type="dxa"/>
            <w:noWrap w:val="0"/>
            <w:vAlign w:val="center"/>
          </w:tcPr>
          <w:p w14:paraId="5EF3F971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868" w:type="dxa"/>
            <w:gridSpan w:val="2"/>
            <w:noWrap w:val="0"/>
            <w:vAlign w:val="center"/>
          </w:tcPr>
          <w:p w14:paraId="3ADC5442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noWrap w:val="0"/>
            <w:vAlign w:val="center"/>
          </w:tcPr>
          <w:p w14:paraId="2D28C2D0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报名日期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 w14:paraId="419801F4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　</w:t>
            </w:r>
            <w:r>
              <w:rPr>
                <w:rFonts w:eastAsia="仿宋_GB2312"/>
                <w:color w:val="000000"/>
                <w:kern w:val="0"/>
                <w:sz w:val="24"/>
              </w:rPr>
              <w:t>　年   月   日</w:t>
            </w:r>
          </w:p>
        </w:tc>
      </w:tr>
      <w:tr w14:paraId="6BC9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4" w:hRule="atLeast"/>
        </w:trPr>
        <w:tc>
          <w:tcPr>
            <w:tcW w:w="2152" w:type="dxa"/>
            <w:noWrap w:val="0"/>
            <w:vAlign w:val="center"/>
          </w:tcPr>
          <w:p w14:paraId="1C635BE3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详细地址</w:t>
            </w:r>
          </w:p>
        </w:tc>
        <w:tc>
          <w:tcPr>
            <w:tcW w:w="6799" w:type="dxa"/>
            <w:gridSpan w:val="5"/>
            <w:noWrap w:val="0"/>
            <w:vAlign w:val="center"/>
          </w:tcPr>
          <w:p w14:paraId="56869672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6DD9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4" w:hRule="atLeast"/>
        </w:trPr>
        <w:tc>
          <w:tcPr>
            <w:tcW w:w="2152" w:type="dxa"/>
            <w:noWrap w:val="0"/>
            <w:vAlign w:val="center"/>
          </w:tcPr>
          <w:p w14:paraId="1641E771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6799" w:type="dxa"/>
            <w:gridSpan w:val="5"/>
            <w:noWrap w:val="0"/>
            <w:vAlign w:val="center"/>
          </w:tcPr>
          <w:p w14:paraId="76C29D2A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61D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4" w:hRule="atLeast"/>
        </w:trPr>
        <w:tc>
          <w:tcPr>
            <w:tcW w:w="2152" w:type="dxa"/>
            <w:noWrap w:val="0"/>
            <w:vAlign w:val="center"/>
          </w:tcPr>
          <w:p w14:paraId="1FEB8807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单位联系人</w:t>
            </w:r>
          </w:p>
        </w:tc>
        <w:tc>
          <w:tcPr>
            <w:tcW w:w="2868" w:type="dxa"/>
            <w:gridSpan w:val="2"/>
            <w:noWrap w:val="0"/>
            <w:vAlign w:val="center"/>
          </w:tcPr>
          <w:p w14:paraId="2C773678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1C050C27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326" w:type="dxa"/>
            <w:noWrap w:val="0"/>
            <w:vAlign w:val="center"/>
          </w:tcPr>
          <w:p w14:paraId="36C002E1">
            <w:pPr>
              <w:overflowPunct w:val="0"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 w14:paraId="0FAEB3DC">
      <w:pPr>
        <w:overflowPunct w:val="0"/>
        <w:spacing w:line="360" w:lineRule="exact"/>
        <w:ind w:left="1080" w:hanging="1080" w:hangingChars="450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备注：1</w:t>
      </w:r>
      <w:r>
        <w:rPr>
          <w:rFonts w:hint="eastAsia" w:ascii="宋体" w:hAnsi="宋体"/>
          <w:color w:val="000000"/>
          <w:kern w:val="0"/>
          <w:sz w:val="24"/>
        </w:rPr>
        <w:t>.</w:t>
      </w:r>
      <w:r>
        <w:rPr>
          <w:rFonts w:eastAsia="仿宋_GB2312"/>
          <w:color w:val="000000"/>
          <w:kern w:val="0"/>
          <w:sz w:val="24"/>
        </w:rPr>
        <w:t>此表填好后，发word格式电子档和盖公章后的扫描件到指定邮箱：</w:t>
      </w:r>
      <w:r>
        <w:rPr>
          <w:rFonts w:eastAsia="仿宋_GB2312"/>
          <w:color w:val="000000"/>
          <w:kern w:val="0"/>
          <w:sz w:val="24"/>
        </w:rPr>
        <w:fldChar w:fldCharType="begin"/>
      </w:r>
      <w:r>
        <w:rPr>
          <w:rFonts w:eastAsia="仿宋_GB2312"/>
          <w:color w:val="000000"/>
          <w:kern w:val="0"/>
          <w:sz w:val="24"/>
        </w:rPr>
        <w:instrText xml:space="preserve">HYPERLINK "mailto:514781675@qq.com"</w:instrText>
      </w:r>
      <w:r>
        <w:rPr>
          <w:rFonts w:eastAsia="仿宋_GB2312"/>
          <w:color w:val="000000"/>
          <w:kern w:val="0"/>
          <w:sz w:val="24"/>
        </w:rPr>
        <w:fldChar w:fldCharType="separate"/>
      </w:r>
      <w:r>
        <w:rPr>
          <w:rFonts w:eastAsia="仿宋_GB2312"/>
          <w:color w:val="000000"/>
          <w:kern w:val="0"/>
          <w:sz w:val="24"/>
        </w:rPr>
        <w:t>514781675@qq.com</w:t>
      </w:r>
      <w:r>
        <w:rPr>
          <w:rFonts w:eastAsia="仿宋_GB2312"/>
          <w:color w:val="000000"/>
          <w:kern w:val="0"/>
          <w:sz w:val="24"/>
        </w:rPr>
        <w:fldChar w:fldCharType="end"/>
      </w:r>
      <w:r>
        <w:rPr>
          <w:rFonts w:eastAsia="仿宋_GB2312"/>
          <w:color w:val="000000"/>
          <w:kern w:val="0"/>
          <w:sz w:val="24"/>
        </w:rPr>
        <w:t>；为方便登记和统计相关信息，邮件和报名表名称请写为：单位全称。</w:t>
      </w:r>
    </w:p>
    <w:p w14:paraId="28AE7FFF">
      <w:pPr>
        <w:overflowPunct w:val="0"/>
        <w:spacing w:line="360" w:lineRule="exact"/>
        <w:ind w:left="1080" w:hanging="1080" w:hangingChars="450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　　　2</w:t>
      </w:r>
      <w:r>
        <w:rPr>
          <w:rFonts w:hint="eastAsia" w:ascii="宋体" w:hAnsi="宋体"/>
          <w:color w:val="000000"/>
          <w:kern w:val="0"/>
          <w:sz w:val="24"/>
        </w:rPr>
        <w:t>.</w:t>
      </w:r>
      <w:r>
        <w:rPr>
          <w:rFonts w:eastAsia="仿宋_GB2312"/>
          <w:color w:val="000000"/>
          <w:kern w:val="0"/>
          <w:sz w:val="24"/>
        </w:rPr>
        <w:t>以上地址将作为比对样品及发票邮寄地址，请认真填写。</w:t>
      </w:r>
    </w:p>
    <w:p w14:paraId="4DCB450A">
      <w:pPr>
        <w:overflowPunct w:val="0"/>
        <w:spacing w:line="360" w:lineRule="exact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　　　3</w:t>
      </w:r>
      <w:r>
        <w:rPr>
          <w:rFonts w:hint="eastAsia" w:ascii="宋体" w:hAnsi="宋体"/>
          <w:color w:val="000000"/>
          <w:kern w:val="0"/>
          <w:sz w:val="24"/>
        </w:rPr>
        <w:t>.</w:t>
      </w:r>
      <w:r>
        <w:rPr>
          <w:rFonts w:eastAsia="仿宋_GB2312"/>
          <w:color w:val="000000"/>
          <w:kern w:val="0"/>
          <w:sz w:val="24"/>
        </w:rPr>
        <w:t>检测人员须在省检测信息监管平台上查询到相关信息。</w:t>
      </w:r>
    </w:p>
    <w:p w14:paraId="5B2769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F4CDB"/>
    <w:rsid w:val="079F4CDB"/>
    <w:rsid w:val="07F5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-正文"/>
    <w:basedOn w:val="1"/>
    <w:qFormat/>
    <w:uiPriority w:val="0"/>
    <w:pPr>
      <w:overflowPunct w:val="0"/>
      <w:spacing w:line="579" w:lineRule="exact"/>
      <w:ind w:firstLine="640" w:firstLineChars="200"/>
    </w:pPr>
    <w:rPr>
      <w:rFonts w:eastAsia="仿宋_GB2312"/>
      <w:bCs/>
      <w:color w:val="00B05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421</Characters>
  <Lines>0</Lines>
  <Paragraphs>0</Paragraphs>
  <TotalTime>0</TotalTime>
  <ScaleCrop>false</ScaleCrop>
  <LinksUpToDate>false</LinksUpToDate>
  <CharactersWithSpaces>487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2026-04-13T03:15:00Z</dcterms:created>
  <dc:creator>轻舞飞扬</dc:creator>
  <cp:lastModifiedBy>轻舞飞扬</cp:lastModifiedBy>
  <dcterms:modified xsi:type="dcterms:W3CDTF">2026-04-13T07:55:50Z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AC80DB4D144D4ED1B586F8D6549685E8_11</vt:lpwstr>
  </property>
  <property fmtid="{D5CDD505-2E9C-101B-9397-08002B2CF9AE}" pid="4" name="KSOTemplateDocerSaveRecord">
    <vt:lpwstr>eyJoZGlkIjoiNTU3NmFmNDIzM2NhNzI5M2Q3ZTgyYTMxZjgzNDY2MGYiLCJ1c2VySWQiOiI3MzA0NDk3MzIifQ==</vt:lpwstr>
  </property>
</Properties>
</file>