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32"/>
          <w:szCs w:val="32"/>
        </w:rPr>
      </w:pPr>
      <w:r>
        <w:rPr>
          <w:rFonts w:hint="eastAsia" w:ascii="黑体" w:hAnsi="黑体" w:eastAsia="黑体" w:cs="Times New Roman"/>
          <w:sz w:val="32"/>
          <w:szCs w:val="32"/>
        </w:rPr>
        <w:t>附件</w:t>
      </w:r>
    </w:p>
    <w:p>
      <w:pPr>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观摩指南</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一、工程</w:t>
      </w:r>
      <w:r>
        <w:rPr>
          <w:rFonts w:ascii="Times New Roman" w:hAnsi="Times New Roman" w:eastAsia="黑体" w:cs="Times New Roman"/>
          <w:sz w:val="32"/>
          <w:szCs w:val="32"/>
        </w:rPr>
        <w:t>简介</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 </w:t>
      </w:r>
      <w:r>
        <w:rPr>
          <w:rFonts w:hint="eastAsia" w:ascii="Times New Roman" w:hAnsi="Times New Roman" w:eastAsia="黑体" w:cs="Times New Roman"/>
          <w:sz w:val="32"/>
          <w:szCs w:val="32"/>
        </w:rPr>
        <w:t>工程</w:t>
      </w:r>
      <w:r>
        <w:rPr>
          <w:rFonts w:ascii="Times New Roman" w:hAnsi="Times New Roman" w:eastAsia="黑体" w:cs="Times New Roman"/>
          <w:sz w:val="32"/>
          <w:szCs w:val="32"/>
        </w:rPr>
        <w:t>概况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沪昆高速公路昌傅至金鱼石段是国家“十四五”综合立体交通规划网中明确的沪昆高速江西境内路段升级改造项目，也是江西省“大十字”高速公路“主骨架”的收官之作。项目起自樟树市昌傅镇樟树枢纽互通北侧约3.1公里处，接已改扩建的沪昆高速南昌至昌傅段，全长179.514公里。其中，利用既有高速公路改扩建145.975公里，新建复线33.539公里，概算投资约222.3亿元，计划工期39个月。项目全线采用高速公路标准改扩建，设计速度100公里/小时。其中：利用既有高速公路改建段采用双向八车道标准建设，整体以两侧加宽为主，局部采用单侧加宽及分离新建，整体式路基宽41米，新建分离式路基宽20.5米，新建复线路段采用双向六车道标准建设，路基宽度33.5米。</w:t>
      </w:r>
    </w:p>
    <w:p>
      <w:pPr>
        <w:ind w:left="640"/>
        <w:rPr>
          <w:rFonts w:ascii="Times New Roman" w:hAnsi="Times New Roman" w:eastAsia="黑体"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）工程亮点</w:t>
      </w:r>
    </w:p>
    <w:p>
      <w:pPr>
        <w:ind w:left="640"/>
        <w:rPr>
          <w:rFonts w:ascii="仿宋_GB2312" w:hAnsi="仿宋_GB2312" w:eastAsia="仿宋_GB2312" w:cs="仿宋_GB2312"/>
          <w:sz w:val="32"/>
          <w:szCs w:val="32"/>
        </w:rPr>
      </w:pPr>
      <w:r>
        <w:rPr>
          <w:rFonts w:ascii="Times New Roman" w:hAnsi="Times New Roman" w:eastAsia="仿宋" w:cs="Times New Roman"/>
          <w:sz w:val="32"/>
          <w:szCs w:val="32"/>
        </w:rPr>
        <w:t>1.</w:t>
      </w:r>
      <w:r>
        <w:rPr>
          <w:rFonts w:ascii="Times New Roman" w:hAnsi="Times New Roman" w:eastAsia="楷体" w:cs="Times New Roman"/>
          <w:sz w:val="32"/>
          <w:szCs w:val="32"/>
        </w:rPr>
        <w:t>低碳环保和绿色生态</w:t>
      </w:r>
      <w:r>
        <w:rPr>
          <w:rFonts w:ascii="Times New Roman" w:hAnsi="Times New Roman" w:eastAsia="仿宋" w:cs="Times New Roman"/>
          <w:sz w:val="32"/>
          <w:szCs w:val="32"/>
        </w:rPr>
        <w:t>。</w:t>
      </w:r>
      <w:r>
        <w:rPr>
          <w:rFonts w:hint="eastAsia" w:ascii="仿宋_GB2312" w:hAnsi="仿宋_GB2312" w:eastAsia="仿宋_GB2312" w:cs="仿宋_GB2312"/>
          <w:sz w:val="32"/>
          <w:szCs w:val="32"/>
        </w:rPr>
        <w:t>项目深入贯彻“大环保”理念，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紧扣绿色公路建设要求，聚焦资源集约和绿色低碳两大主题，积极探索新型绿色交通基础设施建设路径，全面提升绿色公路建设水平，推动工程美学与沿线景观深度融合。</w:t>
      </w:r>
    </w:p>
    <w:p>
      <w:pPr>
        <w:ind w:left="640"/>
        <w:rPr>
          <w:rFonts w:ascii="仿宋_GB2312" w:hAnsi="仿宋_GB2312" w:eastAsia="仿宋_GB2312" w:cs="仿宋_GB2312"/>
          <w:sz w:val="32"/>
          <w:szCs w:val="32"/>
        </w:rPr>
      </w:pPr>
      <w:r>
        <w:rPr>
          <w:rFonts w:ascii="Times New Roman" w:hAnsi="Times New Roman" w:eastAsia="仿宋" w:cs="Times New Roman"/>
          <w:sz w:val="32"/>
          <w:szCs w:val="32"/>
        </w:rPr>
        <w:t>2.</w:t>
      </w:r>
      <w:r>
        <w:rPr>
          <w:rFonts w:ascii="Times New Roman" w:hAnsi="Times New Roman" w:eastAsia="楷体" w:cs="Times New Roman"/>
          <w:sz w:val="32"/>
          <w:szCs w:val="32"/>
        </w:rPr>
        <w:t>工业固废再生利用（路域外）</w:t>
      </w:r>
      <w:r>
        <w:rPr>
          <w:rFonts w:ascii="Times New Roman" w:hAnsi="Times New Roman" w:eastAsia="仿宋" w:cs="Times New Roman"/>
          <w:sz w:val="32"/>
          <w:szCs w:val="32"/>
        </w:rPr>
        <w:t>。</w:t>
      </w:r>
      <w:r>
        <w:rPr>
          <w:rFonts w:hint="eastAsia" w:ascii="仿宋_GB2312" w:hAnsi="仿宋_GB2312" w:eastAsia="仿宋_GB2312" w:cs="仿宋_GB2312"/>
          <w:sz w:val="32"/>
          <w:szCs w:val="32"/>
        </w:rPr>
        <w:t>项目围绕工业大宗固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废-长石粉在昌金高速建设中的大规模应用开展研究，进行固废高附加值绿色利用系统性科研攻关。在建设过程中以长石粉等工业固废为重点，构建以路基填料为大宗消纳主体，混凝土集料、掺合料为辅的多元化体系，实现长石粉以及矿渣等在道路工程中大规模多元化消纳。</w:t>
      </w:r>
    </w:p>
    <w:p>
      <w:pPr>
        <w:ind w:left="640"/>
        <w:rPr>
          <w:rFonts w:ascii="仿宋_GB2312" w:hAnsi="仿宋_GB2312" w:eastAsia="仿宋_GB2312" w:cs="仿宋_GB2312"/>
          <w:sz w:val="32"/>
          <w:szCs w:val="32"/>
        </w:rPr>
      </w:pPr>
      <w:r>
        <w:rPr>
          <w:rFonts w:ascii="Times New Roman" w:hAnsi="Times New Roman" w:eastAsia="仿宋" w:cs="Times New Roman"/>
          <w:sz w:val="32"/>
          <w:szCs w:val="32"/>
        </w:rPr>
        <w:t>3.</w:t>
      </w:r>
      <w:r>
        <w:rPr>
          <w:rFonts w:ascii="Times New Roman" w:hAnsi="Times New Roman" w:eastAsia="楷体" w:cs="Times New Roman"/>
          <w:sz w:val="32"/>
          <w:szCs w:val="32"/>
        </w:rPr>
        <w:t>建筑固废再生利用（路域内）</w:t>
      </w:r>
      <w:r>
        <w:rPr>
          <w:rFonts w:ascii="Times New Roman" w:hAnsi="Times New Roman" w:eastAsia="仿宋" w:cs="Times New Roman"/>
          <w:sz w:val="32"/>
          <w:szCs w:val="32"/>
        </w:rPr>
        <w:t>。</w:t>
      </w:r>
      <w:r>
        <w:rPr>
          <w:rFonts w:hint="eastAsia" w:ascii="仿宋_GB2312" w:hAnsi="仿宋_GB2312" w:eastAsia="仿宋_GB2312" w:cs="仿宋_GB2312"/>
          <w:sz w:val="32"/>
          <w:szCs w:val="32"/>
        </w:rPr>
        <w:t>针对老桥、边坡挡墙、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防排水圬工及其他废弃混凝土拆除物进行集中处理，用于生产低强度等级混凝土、上路床加强层、级配碎石层、防排水等工程，如：生产小型构造物、边坡防护六角块预制等；针对隧道弃渣，品质良好且达到碎石、机制砂生产要求的废弃渣土集中在合适的区域破碎生产，用于匹配标号的混凝土施工；质地较好的各类土石，用于路基填筑或软基处理；黏土类弃土用于互通区域营造景观微地形；针对废弃混凝土，采用混凝土砂石分离循环利用技术，建设集废弃混凝土破碎、筛分、存储等一体化生产线，有效避免混凝土的废料对周边生态环境的污染，实现循环利用砂石料。</w:t>
      </w:r>
    </w:p>
    <w:p>
      <w:pPr>
        <w:ind w:left="640"/>
        <w:rPr>
          <w:rFonts w:ascii="仿宋_GB2312" w:hAnsi="仿宋_GB2312" w:eastAsia="仿宋_GB2312" w:cs="仿宋_GB2312"/>
          <w:sz w:val="32"/>
          <w:szCs w:val="32"/>
        </w:rPr>
      </w:pPr>
      <w:r>
        <w:rPr>
          <w:rFonts w:ascii="Times New Roman" w:hAnsi="Times New Roman" w:eastAsia="仿宋" w:cs="Times New Roman"/>
          <w:sz w:val="32"/>
          <w:szCs w:val="32"/>
        </w:rPr>
        <w:t>4.</w:t>
      </w:r>
      <w:r>
        <w:rPr>
          <w:rFonts w:ascii="Times New Roman" w:hAnsi="Times New Roman" w:eastAsia="楷体" w:cs="Times New Roman"/>
          <w:sz w:val="32"/>
          <w:szCs w:val="32"/>
        </w:rPr>
        <w:t>推进产业链协同发展</w:t>
      </w:r>
      <w:r>
        <w:rPr>
          <w:rFonts w:ascii="Times New Roman" w:hAnsi="Times New Roman" w:eastAsia="仿宋" w:cs="Times New Roman"/>
          <w:sz w:val="32"/>
          <w:szCs w:val="32"/>
        </w:rPr>
        <w:t>。</w:t>
      </w:r>
      <w:r>
        <w:rPr>
          <w:rFonts w:hint="eastAsia" w:ascii="仿宋_GB2312" w:hAnsi="仿宋_GB2312" w:eastAsia="仿宋_GB2312" w:cs="仿宋_GB2312"/>
          <w:sz w:val="32"/>
          <w:szCs w:val="32"/>
        </w:rPr>
        <w:t>利用原有的地方养护基地改造</w:t>
      </w:r>
    </w:p>
    <w:p>
      <w:pPr>
        <w:rPr>
          <w:rFonts w:ascii="Times New Roman" w:hAnsi="Times New Roman" w:eastAsia="仿宋" w:cs="Times New Roman"/>
          <w:sz w:val="32"/>
          <w:szCs w:val="32"/>
        </w:rPr>
      </w:pPr>
      <w:r>
        <w:rPr>
          <w:rFonts w:hint="eastAsia" w:ascii="仿宋_GB2312" w:hAnsi="仿宋_GB2312" w:eastAsia="仿宋_GB2312" w:cs="仿宋_GB2312"/>
          <w:sz w:val="32"/>
          <w:szCs w:val="32"/>
        </w:rPr>
        <w:t>升级达到项目路面新建和养护施工的深入结合，利用企地联合、业务辐射周边的项目建设要求，将改扩建工程剩余的铣刨料作为冷、热再生材料加以利用，达到道路材料循环使用，打造全省首个道路材料资源再生循环利用项目的目标。</w:t>
      </w:r>
    </w:p>
    <w:p>
      <w:pPr>
        <w:ind w:left="640"/>
        <w:rPr>
          <w:rFonts w:ascii="仿宋_GB2312" w:hAnsi="仿宋_GB2312" w:eastAsia="仿宋_GB2312" w:cs="仿宋_GB2312"/>
          <w:sz w:val="32"/>
          <w:szCs w:val="32"/>
        </w:rPr>
      </w:pPr>
      <w:r>
        <w:rPr>
          <w:rFonts w:ascii="Times New Roman" w:hAnsi="Times New Roman" w:eastAsia="仿宋" w:cs="Times New Roman"/>
          <w:sz w:val="32"/>
          <w:szCs w:val="32"/>
        </w:rPr>
        <w:t>5.</w:t>
      </w:r>
      <w:r>
        <w:rPr>
          <w:rFonts w:ascii="Times New Roman" w:hAnsi="Times New Roman" w:eastAsia="楷体" w:cs="Times New Roman"/>
          <w:sz w:val="32"/>
          <w:szCs w:val="32"/>
        </w:rPr>
        <w:t>绿色设计和低碳施工</w:t>
      </w:r>
      <w:r>
        <w:rPr>
          <w:rFonts w:ascii="Times New Roman" w:hAnsi="Times New Roman" w:eastAsia="仿宋" w:cs="Times New Roman"/>
          <w:sz w:val="32"/>
          <w:szCs w:val="32"/>
        </w:rPr>
        <w:t>。</w:t>
      </w:r>
      <w:r>
        <w:rPr>
          <w:rFonts w:hint="eastAsia" w:ascii="仿宋_GB2312" w:hAnsi="仿宋_GB2312" w:eastAsia="仿宋_GB2312" w:cs="仿宋_GB2312"/>
          <w:sz w:val="32"/>
          <w:szCs w:val="32"/>
        </w:rPr>
        <w:t>按照专业技术规范统一结构类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型、设计参数、技术指标等，充分考虑通过设计促进施工装配化、工厂化、机械化。将“低污染、低能耗、低排放、高能效”的理念、技术和方法应用到设计之中，结合园林、生态学原理，充分利用地形地貌造景，创新边坡、互通区、服务区、收费站、取弃土场的绿化设计，参考公路附近自然植物群落，设计公路环境中人工植物群落，采用障景、借景等手法，多层次创造景观。过程中开展全过程绿色施工，严控污染物排放，以问题为导向，落实扬尘、污水、噪声等环保专项整治工作。建立施工扬尘、废水、危废处理，噪声监测、监督制度，贯彻执行有关职业健康和环境保护规定，落实减少降低施工扬尘、噪声举措。</w:t>
      </w:r>
    </w:p>
    <w:p>
      <w:pPr>
        <w:ind w:left="640"/>
        <w:rPr>
          <w:rFonts w:ascii="仿宋_GB2312" w:hAnsi="仿宋_GB2312" w:eastAsia="仿宋_GB2312" w:cs="仿宋_GB2312"/>
          <w:sz w:val="32"/>
          <w:szCs w:val="32"/>
        </w:rPr>
      </w:pPr>
      <w:r>
        <w:rPr>
          <w:rFonts w:ascii="Times New Roman" w:hAnsi="Times New Roman" w:eastAsia="仿宋" w:cs="Times New Roman"/>
          <w:sz w:val="32"/>
          <w:szCs w:val="32"/>
        </w:rPr>
        <w:t>6.</w:t>
      </w:r>
      <w:r>
        <w:rPr>
          <w:rFonts w:ascii="Times New Roman" w:hAnsi="Times New Roman" w:eastAsia="楷体" w:cs="Times New Roman"/>
          <w:sz w:val="32"/>
          <w:szCs w:val="32"/>
        </w:rPr>
        <w:t>数智化管控和精细化管理。</w:t>
      </w:r>
      <w:r>
        <w:rPr>
          <w:rFonts w:hint="eastAsia" w:ascii="仿宋_GB2312" w:hAnsi="仿宋_GB2312" w:eastAsia="仿宋_GB2312" w:cs="仿宋_GB2312"/>
          <w:sz w:val="32"/>
          <w:szCs w:val="32"/>
        </w:rPr>
        <w:t>项目积极推动5G、北斗导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航、智能互联等技术在高速公路建设上的应用，在智慧高速建设时兼顾考虑改扩建期的临时需求和运营期的未来需要，依托BIM+GIS技术对交通组织方案模拟仿真，为制定交通组织方案提供良好的决策支撑。同时，通过对交通运行状态进行动态监控和预测，建设数字交通主动管控系统，辅以精细化交通管控措施，保障高速公路平稳、安全运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二、观摩</w:t>
      </w:r>
      <w:r>
        <w:rPr>
          <w:rFonts w:hint="eastAsia" w:ascii="Times New Roman" w:hAnsi="Times New Roman" w:eastAsia="黑体" w:cs="Times New Roman"/>
          <w:sz w:val="32"/>
          <w:szCs w:val="32"/>
        </w:rPr>
        <w:t>说明</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注意事项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1.因观摩内容较多，计划出发时间为早8: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0，请合理安排作息时间（上车地点另行通知）</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2.本人如易犯晕车等症状，建议提前准备药品。</w:t>
      </w:r>
    </w:p>
    <w:p>
      <w:pPr>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（二）观摩内容</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1.观摩点包含高速公路改扩建工程枢纽站、道路材料循环经济产业园、隧道等。</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.观摩站点选择因受气候等因素影响，可能进行微调，以现场公布的观摩说明为准</w:t>
      </w:r>
      <w:r>
        <w:rPr>
          <w:rFonts w:hint="eastAsia" w:ascii="仿宋_GB2312" w:hAnsi="仿宋_GB2312" w:eastAsia="仿宋_GB2312" w:cs="仿宋_GB2312"/>
          <w:sz w:val="32"/>
          <w:szCs w:val="32"/>
          <w:highlight w:val="none"/>
          <w:lang w:eastAsia="zh-CN"/>
        </w:rPr>
        <w:t>。</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GRkNjkxYTc4MTMxY2ZmZTYxZTM2ZmEwZGQ3Y2EifQ=="/>
  </w:docVars>
  <w:rsids>
    <w:rsidRoot w:val="00000000"/>
    <w:rsid w:val="3D3E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2024-03-18T02:04:29Z</dcterms:created>
  <dc:creator>DELL</dc:creator>
  <cp:lastModifiedBy>不想上班Plus pro max</cp:lastModifiedBy>
  <dcterms:modified xsi:type="dcterms:W3CDTF">2024-03-18T02:04:31Z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D281BFDE723943A282D21C59DD4EF1CA_12</vt:lpwstr>
  </property>
</Properties>
</file>