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lang w:val="en-US" w:eastAsia="zh-CN"/>
        </w:rPr>
        <w:t>湖北省建筑施工安全生产专项整治工作方案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深刻汲取宁夏银川“6.21”燃气爆炸事故教训，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  <w:t>切实消除施工现场事故隐患，制定如下专项整治工作方案。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w w:val="100"/>
          <w:sz w:val="32"/>
          <w:szCs w:val="32"/>
          <w:lang w:val="en-US" w:eastAsia="zh-CN"/>
        </w:rPr>
        <w:t>一、整治重点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w w:val="100"/>
          <w:sz w:val="32"/>
          <w:szCs w:val="32"/>
          <w:lang w:val="en-US" w:eastAsia="zh-CN"/>
        </w:rPr>
        <w:t>（一）严查</w:t>
      </w:r>
      <w:r>
        <w:rPr>
          <w:rFonts w:hint="eastAsia" w:ascii="楷体_GB2312" w:hAnsi="楷体_GB2312" w:eastAsia="楷体_GB2312" w:cs="楷体_GB2312"/>
          <w:b/>
          <w:bCs/>
          <w:color w:val="auto"/>
          <w:w w:val="100"/>
          <w:kern w:val="2"/>
          <w:sz w:val="32"/>
          <w:szCs w:val="32"/>
          <w:lang w:val="en-US" w:eastAsia="zh-CN" w:bidi="ar-SA"/>
        </w:rPr>
        <w:t>关键岗位人员到岗履职与“三包一挂”。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重点检查建工程项目经理、项目总监、专职安全管理人员等重要岗位人员是否到岗履责，是否存在“三包一挂”等违规行为，特种作业人员是否持证上岗，施工单位的安管人员是否取得安全生产考核合格证书。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w w:val="100"/>
          <w:kern w:val="2"/>
          <w:sz w:val="32"/>
          <w:szCs w:val="32"/>
          <w:lang w:val="en-US" w:eastAsia="zh-CN" w:bidi="ar-SA"/>
        </w:rPr>
        <w:t>（二）督促推进智慧工地建设。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重点检查各市区项目智慧工地建设是否做到全覆盖，是否有推进措施，对辖区工作是否有调度，是否建立在建项目智慧工地推进清单。已开展智慧工地建设的项目，实名制管理、扬尘噪声监测、视频监控、塔式起重机和施工升降机安全监控等基础项是否应装尽装，相关数据是否与省级平台完成对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w w:val="100"/>
          <w:kern w:val="2"/>
          <w:sz w:val="32"/>
          <w:szCs w:val="32"/>
          <w:lang w:val="en-US" w:eastAsia="zh-CN" w:bidi="ar-SA"/>
        </w:rPr>
        <w:t>（三）严格排查事故多发易发环节部位隐患。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对照《房屋市政工程生产安全重大事故隐患判定标准（2022版）》，重点检查深基坑、高支模、起重机械、脚手架、高处作业以及有限空间作业等事故多发易发环节的安全隐患。是否认真落实《湖北省房屋市政工程安全生产治理行动巩固提升工作实施方案》《全省住建领域重大事故隐患专项排查整治2023 行动实施方案》要求。是否严格执行“施工安全日志”制度。是否加强施工现场消防安全管理，强化动火作业审批管控。是否采取有效措施，加强极端天气应对防范。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二、工作措施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严格落实责任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各地住建部门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要切实扛起行业监管责任，扎实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开展专项检查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安全生产专项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，实行销号管理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要督促企业落实安全生产主体责任，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施工企业对工程项目安全检查每月不少于1次，项目部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自查每周不少于1次，安全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与工程施工同步开展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w w:val="100"/>
          <w:kern w:val="2"/>
          <w:sz w:val="32"/>
          <w:szCs w:val="32"/>
          <w:lang w:val="en-US" w:eastAsia="zh-CN" w:bidi="ar-SA"/>
        </w:rPr>
        <w:t>（二）聚焦重点工作。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各地住建部门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紧盯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目标任务，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采取有力措施，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加强工作督办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和整改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，确保2023年6月底前做到市级项目智慧工地建设基础项全覆盖，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深基坑、高支模和建筑起重机械等危大工程施工环节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安全隐患及时消除，项目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重要岗位人员全部到岗履责，“三包一挂”乱象得到有效遏制。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w w:val="100"/>
          <w:sz w:val="32"/>
          <w:szCs w:val="32"/>
          <w:lang w:val="en-US" w:eastAsia="zh-CN"/>
        </w:rPr>
        <w:t>（三）强化管理手段。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安全生产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四不两直”方式开展，并通过执法记录仪实行现场取证，从严从快查处违法违规行为。对开展专项整治不到位、现场隐患多发频发的项目，一律纳入黑榜名单，并扣减项目参建单位诚信分。建立全省从业人员和企业诚信档案。严格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“三个一票否决”和“三个一律”，发生生产安全事故，坚持实施“一案四查”。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contextualSpacing/>
        <w:jc w:val="both"/>
        <w:textAlignment w:val="auto"/>
        <w:rPr>
          <w:rFonts w:ascii="黑体" w:hAnsi="黑体" w:eastAsia="黑体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/>
          <w:color w:val="auto"/>
          <w:kern w:val="2"/>
          <w:sz w:val="32"/>
          <w:szCs w:val="32"/>
          <w:lang w:eastAsia="zh-CN" w:bidi="ar-SA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contextualSpacing/>
        <w:jc w:val="both"/>
        <w:textAlignment w:val="auto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楷体_GB2312" w:hAnsi="楷体" w:eastAsia="楷体_GB2312" w:cs="黑体"/>
          <w:b/>
          <w:color w:val="auto"/>
          <w:sz w:val="32"/>
          <w:szCs w:val="32"/>
          <w:lang w:val="zh-TW" w:eastAsia="zh-CN" w:bidi="zh-TW"/>
        </w:rPr>
        <w:t>（一）即日起至</w:t>
      </w:r>
      <w:r>
        <w:rPr>
          <w:rFonts w:hint="eastAsia" w:ascii="楷体_GB2312" w:hAnsi="楷体" w:eastAsia="楷体_GB2312" w:cs="黑体"/>
          <w:b/>
          <w:color w:val="auto"/>
          <w:sz w:val="32"/>
          <w:szCs w:val="32"/>
          <w:lang w:val="en-US" w:eastAsia="zh-CN" w:bidi="zh-TW"/>
        </w:rPr>
        <w:t>6月30日</w:t>
      </w:r>
      <w:r>
        <w:rPr>
          <w:rFonts w:hint="eastAsia" w:ascii="楷体_GB2312" w:hAnsi="楷体" w:eastAsia="楷体_GB2312" w:cs="黑体"/>
          <w:b/>
          <w:color w:val="auto"/>
          <w:sz w:val="32"/>
          <w:szCs w:val="32"/>
          <w:lang w:val="zh-TW" w:eastAsia="zh-CN" w:bidi="zh-TW"/>
        </w:rPr>
        <w:t>全面</w:t>
      </w:r>
      <w:r>
        <w:rPr>
          <w:rFonts w:hint="eastAsia" w:ascii="楷体_GB2312" w:hAnsi="楷体" w:eastAsia="楷体_GB2312" w:cs="黑体"/>
          <w:b/>
          <w:color w:val="auto"/>
          <w:sz w:val="32"/>
          <w:szCs w:val="32"/>
          <w:lang w:val="en-US" w:eastAsia="zh-CN" w:bidi="zh-TW"/>
        </w:rPr>
        <w:t>组织</w:t>
      </w:r>
      <w:r>
        <w:rPr>
          <w:rFonts w:hint="eastAsia" w:ascii="楷体_GB2312" w:hAnsi="楷体" w:eastAsia="楷体_GB2312" w:cs="黑体"/>
          <w:b/>
          <w:color w:val="auto"/>
          <w:sz w:val="32"/>
          <w:szCs w:val="32"/>
          <w:lang w:val="zh-TW" w:eastAsia="zh-CN" w:bidi="zh-TW"/>
        </w:rPr>
        <w:t>自查</w:t>
      </w:r>
      <w:r>
        <w:rPr>
          <w:rFonts w:hint="eastAsia" w:ascii="楷体_GB2312" w:hAnsi="Calibri" w:eastAsia="楷体_GB2312"/>
          <w:b/>
          <w:bCs/>
          <w:color w:val="auto"/>
          <w:kern w:val="2"/>
          <w:sz w:val="32"/>
          <w:szCs w:val="32"/>
          <w:lang w:eastAsia="zh-CN" w:bidi="ar-SA"/>
        </w:rPr>
        <w:t>。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各地住建部门结合本地建筑施工领域安全生产实际，迅速制定具体实施方案，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  <w:t>明确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工作目标，细化任务和措施，组织辖区所有在建项目开展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轮自查整改，督促各施工企业对其所有承建的项目开展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  <w:t>1轮检查，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建立安全生产风险隐患清单。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楷体_GB2312" w:hAnsi="楷体" w:eastAsia="楷体_GB2312" w:cs="黑体"/>
          <w:b/>
          <w:color w:val="auto"/>
          <w:sz w:val="32"/>
          <w:szCs w:val="32"/>
          <w:lang w:val="zh-TW" w:eastAsia="zh-CN" w:bidi="zh-TW"/>
        </w:rPr>
        <w:t>（二）即日起至</w:t>
      </w:r>
      <w:r>
        <w:rPr>
          <w:rFonts w:hint="eastAsia" w:ascii="楷体_GB2312" w:hAnsi="楷体" w:eastAsia="楷体_GB2312" w:cs="黑体"/>
          <w:b/>
          <w:color w:val="auto"/>
          <w:sz w:val="32"/>
          <w:szCs w:val="32"/>
          <w:lang w:val="en-US" w:eastAsia="zh-CN" w:bidi="zh-TW"/>
        </w:rPr>
        <w:t>7月25日开展</w:t>
      </w:r>
      <w:r>
        <w:rPr>
          <w:rFonts w:hint="eastAsia" w:ascii="楷体_GB2312" w:hAnsi="楷体" w:eastAsia="楷体_GB2312" w:cs="黑体"/>
          <w:b/>
          <w:color w:val="auto"/>
          <w:sz w:val="32"/>
          <w:szCs w:val="32"/>
          <w:lang w:val="zh-TW" w:eastAsia="zh-CN" w:bidi="zh-TW"/>
        </w:rPr>
        <w:t>检查督导</w:t>
      </w:r>
      <w:r>
        <w:rPr>
          <w:rFonts w:hint="eastAsia" w:ascii="楷体_GB2312" w:hAnsi="Calibri" w:eastAsia="楷体_GB2312"/>
          <w:b/>
          <w:bCs/>
          <w:color w:val="auto"/>
          <w:kern w:val="2"/>
          <w:sz w:val="32"/>
          <w:szCs w:val="32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 w:bidi="ar-SA"/>
        </w:rPr>
        <w:t>各地住建部门在企业全面自查的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 w:bidi="ar-SA"/>
        </w:rPr>
        <w:t>，同步开展巡查检查。县（市、区）住建部门对所监管的项目开展不少于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 w:bidi="ar-SA"/>
        </w:rPr>
        <w:t>轮全覆盖检查；市（州）住建部门对下辖各县（市、区）进行不少于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 w:bidi="ar-SA"/>
        </w:rPr>
        <w:t>轮全覆盖抽查，抽查项目比例不少于10%。省厅将结合月度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飞行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 w:bidi="ar-SA"/>
        </w:rPr>
        <w:t>检查等方式对各地工作开展情况进行督导。</w:t>
      </w:r>
    </w:p>
    <w:p>
      <w:pPr>
        <w:keepNext w:val="0"/>
        <w:keepLines w:val="0"/>
        <w:pageBreakBefore w:val="0"/>
        <w:shd w:val="clear" w:color="auto" w:fill="FFFFFF"/>
        <w:kinsoku/>
        <w:wordWrap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eastAsia"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黑体"/>
          <w:b/>
          <w:color w:val="auto"/>
          <w:sz w:val="32"/>
          <w:szCs w:val="32"/>
          <w:lang w:val="zh-TW" w:eastAsia="zh-CN" w:bidi="zh-TW"/>
        </w:rPr>
        <w:t>（三）</w:t>
      </w:r>
      <w:r>
        <w:rPr>
          <w:rFonts w:hint="eastAsia" w:ascii="楷体_GB2312" w:hAnsi="楷体" w:eastAsia="楷体_GB2312" w:cs="黑体"/>
          <w:b/>
          <w:color w:val="auto"/>
          <w:sz w:val="32"/>
          <w:szCs w:val="32"/>
          <w:lang w:val="en-US" w:eastAsia="zh-CN" w:bidi="zh-TW"/>
        </w:rPr>
        <w:t>7月25日至7月30日</w:t>
      </w:r>
      <w:r>
        <w:rPr>
          <w:rFonts w:hint="eastAsia" w:ascii="楷体_GB2312" w:hAnsi="楷体" w:eastAsia="楷体_GB2312" w:cs="黑体"/>
          <w:b/>
          <w:color w:val="auto"/>
          <w:sz w:val="32"/>
          <w:szCs w:val="32"/>
          <w:lang w:val="zh-TW" w:eastAsia="zh-CN" w:bidi="zh-TW"/>
        </w:rPr>
        <w:t>总结上报</w:t>
      </w:r>
      <w:r>
        <w:rPr>
          <w:rFonts w:hint="eastAsia" w:ascii="楷体_GB2312" w:hAnsi="楷体" w:eastAsia="楷体_GB2312" w:cs="黑体"/>
          <w:b/>
          <w:color w:val="auto"/>
          <w:sz w:val="32"/>
          <w:szCs w:val="32"/>
          <w:lang w:val="en-US" w:eastAsia="zh-CN" w:bidi="zh-TW"/>
        </w:rPr>
        <w:t>情况</w:t>
      </w:r>
      <w:r>
        <w:rPr>
          <w:rFonts w:hint="eastAsia" w:ascii="楷体_GB2312" w:hAnsi="楷体" w:eastAsia="楷体_GB2312" w:cs="黑体"/>
          <w:b/>
          <w:color w:val="auto"/>
          <w:sz w:val="32"/>
          <w:szCs w:val="32"/>
          <w:lang w:val="zh-TW" w:eastAsia="zh-CN" w:bidi="zh-TW"/>
        </w:rPr>
        <w:t>。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val="zh-TW" w:eastAsia="zh-CN" w:bidi="ar-SA"/>
        </w:rPr>
        <w:t>各地住建部门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对建筑施工领域安全生产专项整治工作开展情况进行总结，</w:t>
      </w:r>
      <w:r>
        <w:rPr>
          <w:rFonts w:hint="eastAsia" w:ascii="仿宋_GB2312" w:eastAsia="仿宋_GB2312"/>
          <w:sz w:val="32"/>
          <w:szCs w:val="32"/>
        </w:rPr>
        <w:t>对排查发现的违法违规行为和隐患进行分析研判，完善长效机制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形成书面报告于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  <w:t>7月30日前报省厅。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  <w:t>联系人：郭陆、王旭，电话：027-67120972。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GU1OWM2ZjllMzZjMTk0MzU2ZjI4MDEwNWMwNTgifQ=="/>
  </w:docVars>
  <w:rsids>
    <w:rsidRoot w:val="057D607E"/>
    <w:rsid w:val="057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2023-06-23T08:53:00Z</dcterms:created>
  <dc:creator>14433</dc:creator>
  <cp:lastModifiedBy>14433</cp:lastModifiedBy>
  <dcterms:modified xsi:type="dcterms:W3CDTF">2023-06-23T08:54:13Z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951778B985B64DD0ADB990C5955FCE59</vt:lpwstr>
  </property>
</Properties>
</file>